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r>
        <w:rPr>
          <w:rFonts w:hint="eastAsia" w:ascii="黑体" w:hAnsi="黑体" w:eastAsia="黑体"/>
          <w:sz w:val="36"/>
          <w:szCs w:val="36"/>
        </w:rPr>
        <w:t>天津科技大学马克思主义学院2023年高水平人才</w:t>
      </w:r>
    </w:p>
    <w:p>
      <w:pPr>
        <w:jc w:val="center"/>
        <w:rPr>
          <w:rFonts w:ascii="黑体" w:hAnsi="黑体" w:eastAsia="黑体"/>
          <w:sz w:val="36"/>
          <w:szCs w:val="36"/>
        </w:rPr>
      </w:pPr>
      <w:r>
        <w:rPr>
          <w:rFonts w:hint="eastAsia" w:ascii="黑体" w:hAnsi="黑体" w:eastAsia="黑体"/>
          <w:sz w:val="36"/>
          <w:szCs w:val="36"/>
        </w:rPr>
        <w:t>招聘简章</w:t>
      </w:r>
    </w:p>
    <w:p/>
    <w:p>
      <w:pPr>
        <w:rPr>
          <w:rFonts w:ascii="黑体" w:hAnsi="黑体" w:eastAsia="黑体"/>
          <w:sz w:val="28"/>
          <w:szCs w:val="28"/>
        </w:rPr>
      </w:pPr>
      <w:r>
        <w:rPr>
          <w:rFonts w:hint="eastAsia" w:ascii="黑体" w:hAnsi="黑体" w:eastAsia="黑体"/>
          <w:sz w:val="28"/>
          <w:szCs w:val="28"/>
        </w:rPr>
        <w:t>2023年马院高水平人才招聘计划</w:t>
      </w:r>
    </w:p>
    <w:tbl>
      <w:tblPr>
        <w:tblStyle w:val="5"/>
        <w:tblW w:w="8898" w:type="dxa"/>
        <w:tblInd w:w="93" w:type="dxa"/>
        <w:tblLayout w:type="autofit"/>
        <w:tblCellMar>
          <w:top w:w="0" w:type="dxa"/>
          <w:left w:w="108" w:type="dxa"/>
          <w:bottom w:w="0" w:type="dxa"/>
          <w:right w:w="108" w:type="dxa"/>
        </w:tblCellMar>
      </w:tblPr>
      <w:tblGrid>
        <w:gridCol w:w="863"/>
        <w:gridCol w:w="943"/>
        <w:gridCol w:w="1706"/>
        <w:gridCol w:w="992"/>
        <w:gridCol w:w="992"/>
        <w:gridCol w:w="2272"/>
        <w:gridCol w:w="1130"/>
      </w:tblGrid>
      <w:tr>
        <w:tblPrEx>
          <w:tblCellMar>
            <w:top w:w="0" w:type="dxa"/>
            <w:left w:w="108" w:type="dxa"/>
            <w:bottom w:w="0" w:type="dxa"/>
            <w:right w:w="108" w:type="dxa"/>
          </w:tblCellMar>
        </w:tblPrEx>
        <w:trPr>
          <w:trHeight w:val="705" w:hRule="atLeast"/>
        </w:trPr>
        <w:tc>
          <w:tcPr>
            <w:tcW w:w="86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岗位</w:t>
            </w:r>
          </w:p>
        </w:tc>
        <w:tc>
          <w:tcPr>
            <w:tcW w:w="943"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计划人数</w:t>
            </w:r>
          </w:p>
        </w:tc>
        <w:tc>
          <w:tcPr>
            <w:tcW w:w="170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专业</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研究方向</w:t>
            </w:r>
          </w:p>
        </w:tc>
        <w:tc>
          <w:tcPr>
            <w:tcW w:w="99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学历学位</w:t>
            </w:r>
          </w:p>
        </w:tc>
        <w:tc>
          <w:tcPr>
            <w:tcW w:w="227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年龄</w:t>
            </w:r>
          </w:p>
        </w:tc>
        <w:tc>
          <w:tcPr>
            <w:tcW w:w="113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其他要求</w:t>
            </w:r>
          </w:p>
        </w:tc>
      </w:tr>
      <w:tr>
        <w:tblPrEx>
          <w:tblCellMar>
            <w:top w:w="0" w:type="dxa"/>
            <w:left w:w="108" w:type="dxa"/>
            <w:bottom w:w="0" w:type="dxa"/>
            <w:right w:w="108" w:type="dxa"/>
          </w:tblCellMar>
        </w:tblPrEx>
        <w:trPr>
          <w:trHeight w:val="80" w:hRule="atLeast"/>
        </w:trPr>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kern w:val="0"/>
                <w:sz w:val="20"/>
                <w:szCs w:val="20"/>
              </w:rPr>
            </w:pPr>
            <w:r>
              <w:rPr>
                <w:rFonts w:hint="eastAsia" w:ascii="宋体" w:hAnsi="宋体" w:eastAsia="宋体" w:cs="宋体"/>
                <w:b/>
                <w:kern w:val="0"/>
                <w:sz w:val="20"/>
                <w:szCs w:val="20"/>
              </w:rPr>
              <w:t>教学科研岗</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kern w:val="0"/>
                <w:sz w:val="20"/>
                <w:szCs w:val="20"/>
              </w:rPr>
            </w:pPr>
            <w:r>
              <w:rPr>
                <w:rFonts w:hint="eastAsia" w:ascii="宋体" w:hAnsi="宋体" w:eastAsia="宋体" w:cs="宋体"/>
                <w:b/>
                <w:kern w:val="0"/>
                <w:sz w:val="20"/>
                <w:szCs w:val="20"/>
              </w:rPr>
              <w:t>1-2人</w:t>
            </w:r>
          </w:p>
        </w:tc>
        <w:tc>
          <w:tcPr>
            <w:tcW w:w="170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b/>
                <w:kern w:val="0"/>
                <w:sz w:val="20"/>
                <w:szCs w:val="20"/>
              </w:rPr>
            </w:pPr>
            <w:r>
              <w:rPr>
                <w:rFonts w:hint="eastAsia"/>
                <w:b/>
              </w:rPr>
              <w:t>马克思主义理论</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b/>
                <w:kern w:val="0"/>
                <w:sz w:val="20"/>
                <w:szCs w:val="20"/>
              </w:rPr>
            </w:pPr>
            <w:r>
              <w:rPr>
                <w:rFonts w:hint="eastAsia" w:ascii="宋体" w:hAnsi="宋体" w:eastAsia="宋体" w:cs="宋体"/>
                <w:b/>
                <w:kern w:val="0"/>
                <w:sz w:val="20"/>
                <w:szCs w:val="20"/>
              </w:rPr>
              <w:t>不限</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kern w:val="0"/>
                <w:sz w:val="20"/>
                <w:szCs w:val="20"/>
              </w:rPr>
            </w:pPr>
            <w:r>
              <w:rPr>
                <w:rFonts w:hint="eastAsia" w:ascii="宋体" w:hAnsi="宋体" w:eastAsia="宋体" w:cs="宋体"/>
                <w:b/>
                <w:kern w:val="0"/>
                <w:sz w:val="20"/>
                <w:szCs w:val="20"/>
              </w:rPr>
              <w:t>博士研究生</w:t>
            </w: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kern w:val="0"/>
                <w:sz w:val="20"/>
                <w:szCs w:val="20"/>
              </w:rPr>
            </w:pPr>
            <w:r>
              <w:rPr>
                <w:rFonts w:hint="eastAsia" w:ascii="宋体" w:hAnsi="宋体" w:eastAsia="宋体" w:cs="宋体"/>
                <w:b/>
                <w:kern w:val="0"/>
                <w:sz w:val="20"/>
                <w:szCs w:val="20"/>
              </w:rPr>
              <w:t>45周岁以下正教授</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kern w:val="0"/>
                <w:sz w:val="20"/>
                <w:szCs w:val="20"/>
              </w:rPr>
            </w:pPr>
            <w:r>
              <w:rPr>
                <w:rFonts w:hint="eastAsia" w:ascii="宋体" w:hAnsi="宋体" w:eastAsia="宋体" w:cs="宋体"/>
                <w:b/>
                <w:kern w:val="0"/>
                <w:sz w:val="20"/>
                <w:szCs w:val="20"/>
              </w:rPr>
              <w:t>中共党员</w:t>
            </w:r>
          </w:p>
        </w:tc>
      </w:tr>
      <w:tr>
        <w:tblPrEx>
          <w:tblCellMar>
            <w:top w:w="0" w:type="dxa"/>
            <w:left w:w="108" w:type="dxa"/>
            <w:bottom w:w="0" w:type="dxa"/>
            <w:right w:w="108" w:type="dxa"/>
          </w:tblCellMar>
        </w:tblPrEx>
        <w:trPr>
          <w:trHeight w:val="50" w:hRule="atLeast"/>
        </w:trPr>
        <w:tc>
          <w:tcPr>
            <w:tcW w:w="8898" w:type="dxa"/>
            <w:gridSpan w:val="7"/>
            <w:tcBorders>
              <w:top w:val="single" w:color="auto" w:sz="4" w:space="0"/>
            </w:tcBorders>
            <w:shd w:val="clear" w:color="auto" w:fill="auto"/>
            <w:vAlign w:val="center"/>
          </w:tcPr>
          <w:p>
            <w:pPr>
              <w:widowControl/>
              <w:ind w:firstLine="402" w:firstLineChars="200"/>
              <w:jc w:val="left"/>
              <w:rPr>
                <w:rFonts w:ascii="宋体" w:hAnsi="宋体" w:eastAsia="宋体" w:cs="宋体"/>
                <w:b/>
                <w:kern w:val="0"/>
                <w:sz w:val="20"/>
                <w:szCs w:val="20"/>
              </w:rPr>
            </w:pPr>
          </w:p>
        </w:tc>
      </w:tr>
    </w:tbl>
    <w:p>
      <w:pPr>
        <w:rPr>
          <w:rFonts w:ascii="黑体" w:hAnsi="黑体" w:eastAsia="黑体"/>
          <w:sz w:val="28"/>
          <w:szCs w:val="28"/>
        </w:rPr>
      </w:pPr>
      <w:r>
        <w:rPr>
          <w:rFonts w:hint="eastAsia" w:ascii="黑体" w:hAnsi="黑体" w:eastAsia="黑体"/>
          <w:sz w:val="28"/>
          <w:szCs w:val="28"/>
        </w:rPr>
        <w:t>学校介绍：</w:t>
      </w:r>
    </w:p>
    <w:p>
      <w:pPr>
        <w:ind w:firstLine="420" w:firstLineChars="200"/>
        <w:rPr>
          <w:szCs w:val="21"/>
        </w:rPr>
      </w:pPr>
      <w:r>
        <w:rPr>
          <w:rFonts w:hint="eastAsia"/>
          <w:szCs w:val="21"/>
        </w:rPr>
        <w:t>天津科技大学位于渤海之滨、海河之畔，是天津市重点建设高校，是以工为主，工、理、文、农、医、经、管、法、艺等学科协调发展的多科性大学。学校在六十年的办学历程中，形成了"坚持拓展轻工特色，精心培育行业中坚，矢志服务国计民生"的优良办学传统，立足轻工、服务社会，立足天津、面向全国，输送各类人才13.3万余名，他们在各自的工作岗位上，敬业奉献，拼搏进取，展现了科大学子内敛、踏实的精神品质。学校毕业生基础扎实、素质全面、开拓精神和实践能力强，受到社会各界青睐。</w:t>
      </w:r>
    </w:p>
    <w:p>
      <w:pPr>
        <w:ind w:firstLine="420" w:firstLineChars="200"/>
        <w:rPr>
          <w:szCs w:val="21"/>
        </w:rPr>
      </w:pPr>
      <w:r>
        <w:rPr>
          <w:szCs w:val="21"/>
        </w:rPr>
        <w:drawing>
          <wp:inline distT="0" distB="0" distL="0" distR="0">
            <wp:extent cx="5274310" cy="1437640"/>
            <wp:effectExtent l="0" t="0" r="2540" b="0"/>
            <wp:docPr id="1" name="图片 1" descr="C:\Users\GH\Desktop\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H\Desktop\lb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1437795"/>
                    </a:xfrm>
                    <a:prstGeom prst="rect">
                      <a:avLst/>
                    </a:prstGeom>
                    <a:noFill/>
                    <a:ln>
                      <a:noFill/>
                    </a:ln>
                  </pic:spPr>
                </pic:pic>
              </a:graphicData>
            </a:graphic>
          </wp:inline>
        </w:drawing>
      </w:r>
    </w:p>
    <w:p>
      <w:pPr>
        <w:ind w:firstLine="420" w:firstLineChars="200"/>
        <w:rPr>
          <w:szCs w:val="21"/>
        </w:rPr>
      </w:pPr>
    </w:p>
    <w:p>
      <w:pPr>
        <w:ind w:firstLine="420" w:firstLineChars="200"/>
        <w:rPr>
          <w:szCs w:val="21"/>
        </w:rPr>
      </w:pPr>
      <w:r>
        <w:rPr>
          <w:szCs w:val="21"/>
        </w:rPr>
        <w:drawing>
          <wp:inline distT="0" distB="0" distL="0" distR="0">
            <wp:extent cx="5274310" cy="1437640"/>
            <wp:effectExtent l="0" t="0" r="2540" b="0"/>
            <wp:docPr id="2" name="图片 2" descr="C:\Users\GH\Desktop\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H\Desktop\lb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437795"/>
                    </a:xfrm>
                    <a:prstGeom prst="rect">
                      <a:avLst/>
                    </a:prstGeom>
                    <a:noFill/>
                    <a:ln>
                      <a:noFill/>
                    </a:ln>
                  </pic:spPr>
                </pic:pic>
              </a:graphicData>
            </a:graphic>
          </wp:inline>
        </w:drawing>
      </w:r>
    </w:p>
    <w:p>
      <w:pPr>
        <w:ind w:firstLine="420" w:firstLineChars="200"/>
        <w:rPr>
          <w:szCs w:val="21"/>
        </w:rPr>
      </w:pPr>
      <w:r>
        <w:rPr>
          <w:szCs w:val="21"/>
        </w:rPr>
        <w:drawing>
          <wp:inline distT="0" distB="0" distL="0" distR="0">
            <wp:extent cx="5274310" cy="1437640"/>
            <wp:effectExtent l="0" t="0" r="2540" b="0"/>
            <wp:docPr id="3" name="图片 3" descr="C:\Users\GH\Desktop\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H\Desktop\lb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437795"/>
                    </a:xfrm>
                    <a:prstGeom prst="rect">
                      <a:avLst/>
                    </a:prstGeom>
                    <a:noFill/>
                    <a:ln>
                      <a:noFill/>
                    </a:ln>
                  </pic:spPr>
                </pic:pic>
              </a:graphicData>
            </a:graphic>
          </wp:inline>
        </w:drawing>
      </w:r>
    </w:p>
    <w:p>
      <w:pPr>
        <w:rPr>
          <w:rFonts w:ascii="黑体" w:hAnsi="黑体" w:eastAsia="黑体"/>
          <w:sz w:val="28"/>
          <w:szCs w:val="28"/>
        </w:rPr>
      </w:pPr>
      <w:r>
        <w:rPr>
          <w:rFonts w:hint="eastAsia" w:ascii="黑体" w:hAnsi="黑体" w:eastAsia="黑体"/>
          <w:sz w:val="28"/>
          <w:szCs w:val="28"/>
        </w:rPr>
        <w:t>学院介绍：</w:t>
      </w:r>
    </w:p>
    <w:p>
      <w:pPr>
        <w:ind w:firstLine="420" w:firstLineChars="200"/>
        <w:rPr>
          <w:szCs w:val="21"/>
        </w:rPr>
      </w:pPr>
      <w:r>
        <w:rPr>
          <w:rFonts w:hint="eastAsia"/>
          <w:szCs w:val="21"/>
        </w:rPr>
        <w:t>天津科技大学马克思主义学院建院历史较为悠久，最早追溯到1958年建校初期的政治教研组，后更名为马列主义教研室、社会科学部、法政学院，2013年成立马克思主义教育学院，2017年更名为马克思主义学院。党的十八大以后，学院发展步入快车道。2014年马克思主义理论学科被列为学校重点支持学科。2017年获批天津市中国特色社会主义理论体系研究中心天津科技大学基地，成为天津市高校习近平新时代中国特色社会主义研究联盟成员。2018年获批天津市重点马克思主义学院建设单位。2018年学校与天津滨海新区区委宣传部签署共建马克思主义学院项目。2020年学院牵头成立天津市大中小思政课一体化教学联盟，《人民日报》《光明日报》《中国教育报》《天津日报》等媒体多频次、大板块予以报道。学院先后获“天津市教育系统思想政治工作先进集体”、“天津市工人先锋号”、“天津市三八红旗集体”等10余项省部级集体荣誉。学院党总支2021年获学校和天津市教育系统先进基层党组织荣誉称号。</w:t>
      </w:r>
    </w:p>
    <w:p>
      <w:pPr>
        <w:rPr>
          <w:szCs w:val="21"/>
        </w:rPr>
      </w:pPr>
      <w:r>
        <w:rPr>
          <w:rFonts w:hint="eastAsia"/>
          <w:szCs w:val="21"/>
        </w:rPr>
        <w:t>【办学条件】</w:t>
      </w:r>
    </w:p>
    <w:p>
      <w:pPr>
        <w:ind w:firstLine="420" w:firstLineChars="200"/>
        <w:rPr>
          <w:szCs w:val="21"/>
        </w:rPr>
      </w:pPr>
      <w:r>
        <w:rPr>
          <w:rFonts w:hint="eastAsia"/>
          <w:szCs w:val="21"/>
        </w:rPr>
        <w:t>学院位于滨海主校区，总占地面积1300平方米，设有7个思想政治理论课教研部，拥有天津市中国特色社会主义理论体系研究中心、天津市大中小思政课一体化教学联盟中心、天津科技大学思政课研学中心、天津科技大学青年研究中心等多个教学和科研平台，承担全校本、硕、博学生的思想政治理论课教学任务。</w:t>
      </w:r>
    </w:p>
    <w:p>
      <w:pPr>
        <w:rPr>
          <w:szCs w:val="21"/>
        </w:rPr>
      </w:pPr>
      <w:r>
        <w:rPr>
          <w:rFonts w:hint="eastAsia"/>
          <w:szCs w:val="21"/>
        </w:rPr>
        <w:t>【师资力量】</w:t>
      </w:r>
    </w:p>
    <w:p>
      <w:pPr>
        <w:ind w:firstLine="420" w:firstLineChars="200"/>
        <w:rPr>
          <w:szCs w:val="21"/>
        </w:rPr>
      </w:pPr>
      <w:r>
        <w:rPr>
          <w:rFonts w:hint="eastAsia"/>
          <w:szCs w:val="21"/>
        </w:rPr>
        <w:t>历经6</w:t>
      </w:r>
      <w:r>
        <w:rPr>
          <w:rFonts w:hint="eastAsia"/>
          <w:szCs w:val="21"/>
          <w:lang w:val="en-US" w:eastAsia="zh-CN"/>
        </w:rPr>
        <w:t>5</w:t>
      </w:r>
      <w:r>
        <w:rPr>
          <w:rFonts w:hint="eastAsia"/>
          <w:szCs w:val="21"/>
        </w:rPr>
        <w:t>年的发展，以李宝席教授等为代表的老一辈思政教师，曾先后荣获“全国优秀教师”、“全国优秀思想政治工作者”、天津市高等学校教学名师、天津市教育系统优秀思想政治工作者等荣誉称号。目前学院有教职工83人，其中专职教师79人。专职教师中正高职称9人，副高级职称25人，中级职称45人。具有博士学位教师45人，占比56.96%。40岁以下教师44人，占比55.69%。天津市“131”创新型人才第三层次梯队2人，天津市“五一”劳动奖章1人，天津市优秀教师1人，天津市学校思想政治理论课教师年度影响力人物2人，天津市高校思想政治理论课优秀教师7人</w:t>
      </w:r>
      <w:r>
        <w:rPr>
          <w:rFonts w:hint="eastAsia"/>
          <w:szCs w:val="21"/>
          <w:lang w:eastAsia="zh-CN"/>
        </w:rPr>
        <w:t>。</w:t>
      </w:r>
      <w:bookmarkStart w:id="0" w:name="_GoBack"/>
      <w:bookmarkEnd w:id="0"/>
    </w:p>
    <w:p>
      <w:pPr>
        <w:rPr>
          <w:szCs w:val="21"/>
        </w:rPr>
      </w:pPr>
      <w:r>
        <w:rPr>
          <w:rFonts w:hint="eastAsia"/>
          <w:szCs w:val="21"/>
        </w:rPr>
        <w:t>【教学科研成果】</w:t>
      </w:r>
    </w:p>
    <w:p>
      <w:pPr>
        <w:ind w:firstLine="420" w:firstLineChars="200"/>
        <w:rPr>
          <w:szCs w:val="21"/>
        </w:rPr>
      </w:pPr>
      <w:r>
        <w:rPr>
          <w:rFonts w:hint="eastAsia"/>
          <w:szCs w:val="21"/>
        </w:rPr>
        <w:t>近年来，学院不断推动思想政治理论课改革创新，思政课的思想性、理论性和亲和力、针对性不断提升。学院教师先后荣获首届全国高校思想政治理论课教学展示一等奖，荣获全国高校思想政治理论课教学骨干，获天津市高校教师教学创新大赛三等奖，获批“马克思主义基本原理”混合式教学市级一流课程1门，3名教师荣获天津市高校青年教师教学竞赛二、三等奖，荣获天津市普通高校两课“精彩一课”教学示范片二等奖，荣获天津市“精彩一课”视频大赛三等奖，先后主持完成天津市高校思政课精品课程项目。2020年天津市思政课实践创新课“新时代•寻找最美中国人”项目获评优秀。2021年多名老师指导学生参加天津高校思政课公开大赛、“挑战杯”、互联网+大学生创新创业及其它思政类比赛获国家级、市级等奖项。</w:t>
      </w:r>
    </w:p>
    <w:p>
      <w:pPr>
        <w:ind w:firstLine="420" w:firstLineChars="200"/>
        <w:rPr>
          <w:szCs w:val="21"/>
        </w:rPr>
      </w:pPr>
      <w:r>
        <w:rPr>
          <w:rFonts w:hint="eastAsia"/>
          <w:szCs w:val="21"/>
        </w:rPr>
        <w:t>近年来，学院在科研队伍锻造、高层次项目申报、高水平成果培育等方面进步显著。学院教师主持国家社科基金项目5项（马工程重大项目子课题1项），省部级教学科研项目40余项，出版学术专著22部，在《马克思主义研究》《红旗文稿》《人民日报》《光明日报》《南开学报（哲学社会科学版）》《中国社会科学报》等国内重要党报、学术刊物发表文章100余篇，部分论文被《新华文摘》《人大复印资料》《高等学校文科学术文摘》等摘编，1名教师荣获第十四届天津市社会科学优秀成果一等奖、1名教师荣获第十六届天津市社会科学优秀成果一等奖、1名教师荣获第十七届天津市社会科学优秀成果二等奖、2名教师荣获第十七届天津市社会科学优秀成果三等奖。</w:t>
      </w:r>
    </w:p>
    <w:p>
      <w:pPr>
        <w:rPr>
          <w:szCs w:val="21"/>
        </w:rPr>
      </w:pPr>
      <w:r>
        <w:rPr>
          <w:rFonts w:hint="eastAsia"/>
          <w:szCs w:val="21"/>
        </w:rPr>
        <w:t>【学科特色与优势】</w:t>
      </w:r>
    </w:p>
    <w:p>
      <w:pPr>
        <w:ind w:firstLine="420" w:firstLineChars="200"/>
        <w:rPr>
          <w:szCs w:val="21"/>
        </w:rPr>
      </w:pPr>
      <w:r>
        <w:rPr>
          <w:rFonts w:hint="eastAsia"/>
          <w:szCs w:val="21"/>
        </w:rPr>
        <w:t>学校党委提高政治站位，增强“四个意识”，坚定“四个自信”，做到“两个维护”，切实增强“第一学院”“第一学科”“第一课堂”意识，高度重视和支持建设高水平马克思主义理论学科。近五年学院引进一批以马克思主义理论研究和建设工程首席专家柴尚金研究员为代表的高水平人才和优秀博士，有效发挥了学术引领力和支撑力，学科建设迈上新台阶。</w:t>
      </w:r>
    </w:p>
    <w:p>
      <w:pPr>
        <w:rPr>
          <w:szCs w:val="21"/>
        </w:rPr>
      </w:pPr>
      <w:r>
        <w:rPr>
          <w:rFonts w:hint="eastAsia"/>
          <w:szCs w:val="21"/>
        </w:rPr>
        <w:t>马克思主义理论一级学科硕士点下设马克思主义基本原理、马克思主义中国化研究、思想政治教育三个研究方向。学院以培养高层次的马克思主义理论研究者、传播者和实践者为价值追求，注重将马克思主义理论与中国特色社会主义实践有机结合，用习近平新时代中国特色社会主义思想解读当代中国热点、焦点和难点问题，形成了马克思主义与当代经济社会发展研究、中国特色社会主义文化理论与实践、高校思想政治教育理论与实践、当代社会思潮与青年研究等特色方向。马克思主义理论学科研究队伍年龄结构、职称结构、学历结构、学缘结构合理，科研实力强劲。</w:t>
      </w:r>
    </w:p>
    <w:p>
      <w:pPr>
        <w:rPr>
          <w:rFonts w:ascii="黑体" w:hAnsi="黑体" w:eastAsia="黑体"/>
          <w:sz w:val="28"/>
          <w:szCs w:val="28"/>
        </w:rPr>
      </w:pPr>
      <w:r>
        <w:rPr>
          <w:rFonts w:hint="eastAsia" w:ascii="黑体" w:hAnsi="黑体" w:eastAsia="黑体"/>
          <w:sz w:val="28"/>
          <w:szCs w:val="28"/>
        </w:rPr>
        <w:t>福利待遇：</w:t>
      </w:r>
    </w:p>
    <w:p>
      <w:pPr>
        <w:ind w:firstLine="422" w:firstLineChars="200"/>
        <w:rPr>
          <w:b/>
          <w:szCs w:val="21"/>
        </w:rPr>
      </w:pPr>
      <w:r>
        <w:rPr>
          <w:rFonts w:hint="eastAsia"/>
          <w:b/>
          <w:szCs w:val="21"/>
        </w:rPr>
        <w:t>学校高度重视马克思主义学院教师队伍建设，加大人才引进力度，在政策和待遇方面给予重点倾斜。</w:t>
      </w:r>
    </w:p>
    <w:p>
      <w:pPr>
        <w:ind w:firstLine="422" w:firstLineChars="200"/>
        <w:rPr>
          <w:b/>
          <w:szCs w:val="21"/>
        </w:rPr>
      </w:pPr>
      <w:r>
        <w:rPr>
          <w:rFonts w:hint="eastAsia"/>
          <w:b/>
          <w:szCs w:val="21"/>
        </w:rPr>
        <w:t>学校根据教授业绩情况，采取“一人一策”，积极为高水平人才搭建发展平台。</w:t>
      </w:r>
    </w:p>
    <w:p>
      <w:pPr>
        <w:rPr>
          <w:rFonts w:ascii="黑体" w:hAnsi="黑体" w:eastAsia="黑体"/>
          <w:sz w:val="28"/>
          <w:szCs w:val="28"/>
        </w:rPr>
      </w:pPr>
      <w:r>
        <w:rPr>
          <w:rFonts w:hint="eastAsia" w:ascii="黑体" w:hAnsi="黑体" w:eastAsia="黑体"/>
          <w:sz w:val="28"/>
          <w:szCs w:val="28"/>
        </w:rPr>
        <w:t>我们的优势：</w:t>
      </w:r>
    </w:p>
    <w:p>
      <w:pPr>
        <w:ind w:firstLine="420"/>
        <w:rPr>
          <w:b/>
        </w:rPr>
      </w:pPr>
      <w:r>
        <w:rPr>
          <w:rFonts w:hint="eastAsia"/>
          <w:b/>
        </w:rPr>
        <w:t>1.学校</w:t>
      </w:r>
      <w:r>
        <w:rPr>
          <w:b/>
        </w:rPr>
        <w:t>地处滨海新区</w:t>
      </w:r>
      <w:r>
        <w:rPr>
          <w:rFonts w:hint="eastAsia"/>
          <w:b/>
        </w:rPr>
        <w:t>和</w:t>
      </w:r>
      <w:r>
        <w:rPr>
          <w:b/>
        </w:rPr>
        <w:t>天津</w:t>
      </w:r>
      <w:r>
        <w:rPr>
          <w:rFonts w:hint="eastAsia"/>
          <w:b/>
        </w:rPr>
        <w:t>市</w:t>
      </w:r>
      <w:r>
        <w:rPr>
          <w:b/>
        </w:rPr>
        <w:t>河西区</w:t>
      </w:r>
      <w:r>
        <w:rPr>
          <w:rFonts w:hint="eastAsia"/>
          <w:b/>
        </w:rPr>
        <w:t>，</w:t>
      </w:r>
      <w:r>
        <w:rPr>
          <w:b/>
        </w:rPr>
        <w:t>区位优势明显</w:t>
      </w:r>
      <w:r>
        <w:rPr>
          <w:rFonts w:hint="eastAsia"/>
          <w:b/>
        </w:rPr>
        <w:t>，</w:t>
      </w:r>
      <w:r>
        <w:rPr>
          <w:b/>
        </w:rPr>
        <w:t>教育资源丰富</w:t>
      </w:r>
      <w:r>
        <w:rPr>
          <w:rFonts w:hint="eastAsia"/>
          <w:b/>
        </w:rPr>
        <w:t>，</w:t>
      </w:r>
      <w:r>
        <w:rPr>
          <w:b/>
        </w:rPr>
        <w:t>子女入学</w:t>
      </w:r>
      <w:r>
        <w:rPr>
          <w:rFonts w:hint="eastAsia"/>
          <w:b/>
        </w:rPr>
        <w:t>方便</w:t>
      </w:r>
      <w:r>
        <w:rPr>
          <w:b/>
        </w:rPr>
        <w:t>，居住条件</w:t>
      </w:r>
      <w:r>
        <w:rPr>
          <w:rFonts w:hint="eastAsia"/>
          <w:b/>
        </w:rPr>
        <w:t>优越</w:t>
      </w:r>
      <w:r>
        <w:rPr>
          <w:b/>
        </w:rPr>
        <w:t>。</w:t>
      </w:r>
    </w:p>
    <w:p>
      <w:pPr>
        <w:ind w:firstLine="420"/>
        <w:rPr>
          <w:b/>
        </w:rPr>
      </w:pPr>
      <w:r>
        <w:rPr>
          <w:b/>
        </w:rPr>
        <w:t>2.</w:t>
      </w:r>
      <w:r>
        <w:rPr>
          <w:rFonts w:hint="eastAsia"/>
          <w:b/>
        </w:rPr>
        <w:t>一旦加盟我院，即可成为天津市正式事业单位编制。</w:t>
      </w:r>
    </w:p>
    <w:p>
      <w:pPr>
        <w:ind w:firstLine="420"/>
        <w:rPr>
          <w:b/>
        </w:rPr>
      </w:pPr>
      <w:r>
        <w:rPr>
          <w:b/>
        </w:rPr>
        <w:t>3</w:t>
      </w:r>
      <w:r>
        <w:rPr>
          <w:rFonts w:hint="eastAsia"/>
          <w:b/>
        </w:rPr>
        <w:t>．学院氛围轻松和谐，同事友爱如同一家，工作体验舒适。</w:t>
      </w:r>
    </w:p>
    <w:p>
      <w:pPr>
        <w:ind w:firstLine="420"/>
        <w:rPr>
          <w:b/>
        </w:rPr>
      </w:pPr>
      <w:r>
        <w:rPr>
          <w:b/>
        </w:rPr>
        <w:t>4</w:t>
      </w:r>
      <w:r>
        <w:rPr>
          <w:rFonts w:hint="eastAsia"/>
          <w:b/>
        </w:rPr>
        <w:t>．学院对您的教学科研支持会不遗余力，您的意见和要求会得到重视。</w:t>
      </w:r>
    </w:p>
    <w:p>
      <w:pPr>
        <w:rPr>
          <w:rFonts w:ascii="黑体" w:hAnsi="黑体" w:eastAsia="黑体"/>
          <w:sz w:val="28"/>
          <w:szCs w:val="28"/>
        </w:rPr>
      </w:pPr>
      <w:r>
        <w:rPr>
          <w:rFonts w:hint="eastAsia" w:ascii="黑体" w:hAnsi="黑体" w:eastAsia="黑体"/>
          <w:sz w:val="28"/>
          <w:szCs w:val="28"/>
        </w:rPr>
        <w:t>学院联系方式：</w:t>
      </w:r>
    </w:p>
    <w:p>
      <w:pPr>
        <w:ind w:firstLine="420"/>
      </w:pPr>
      <w:r>
        <w:rPr>
          <w:rFonts w:hint="eastAsia"/>
        </w:rPr>
        <w:t>招聘网站：</w:t>
      </w:r>
      <w:r>
        <w:t>http://hr.tust.edu.cn/</w:t>
      </w:r>
    </w:p>
    <w:p>
      <w:pPr>
        <w:ind w:firstLine="420"/>
      </w:pPr>
      <w:r>
        <w:rPr>
          <w:rFonts w:hint="eastAsia"/>
        </w:rPr>
        <w:t xml:space="preserve">联系人:陈老师  闫老师 </w:t>
      </w:r>
    </w:p>
    <w:p>
      <w:pPr>
        <w:ind w:firstLine="420"/>
      </w:pPr>
      <w:r>
        <w:rPr>
          <w:rFonts w:hint="eastAsia"/>
        </w:rPr>
        <w:t xml:space="preserve">电话：13612093751   13820368132 </w:t>
      </w:r>
    </w:p>
    <w:p>
      <w:pPr>
        <w:ind w:firstLine="420"/>
      </w:pPr>
      <w:r>
        <w:rPr>
          <w:rFonts w:hint="eastAsia"/>
        </w:rPr>
        <w:t xml:space="preserve">邮箱： </w:t>
      </w:r>
      <w:r>
        <w:t>chenwei326@tust.edu.cn</w:t>
      </w:r>
      <w:r>
        <w:rPr>
          <w:rFonts w:hint="eastAsia"/>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YTdkZGNiNjJjNGYxZDg4MmVkODYyM2MzN2Y5NjMifQ=="/>
  </w:docVars>
  <w:rsids>
    <w:rsidRoot w:val="00414EC9"/>
    <w:rsid w:val="0006361E"/>
    <w:rsid w:val="000A4782"/>
    <w:rsid w:val="000E43C8"/>
    <w:rsid w:val="00137241"/>
    <w:rsid w:val="002048D9"/>
    <w:rsid w:val="00414EC9"/>
    <w:rsid w:val="00456352"/>
    <w:rsid w:val="00491160"/>
    <w:rsid w:val="005267A4"/>
    <w:rsid w:val="00652118"/>
    <w:rsid w:val="00665D29"/>
    <w:rsid w:val="006A1897"/>
    <w:rsid w:val="006A3EA2"/>
    <w:rsid w:val="006F3C31"/>
    <w:rsid w:val="008112EA"/>
    <w:rsid w:val="00823889"/>
    <w:rsid w:val="009B37C0"/>
    <w:rsid w:val="009B7173"/>
    <w:rsid w:val="009F7151"/>
    <w:rsid w:val="00A34FFF"/>
    <w:rsid w:val="00A51DE9"/>
    <w:rsid w:val="00A63525"/>
    <w:rsid w:val="00B1220C"/>
    <w:rsid w:val="00B601B5"/>
    <w:rsid w:val="00B8123D"/>
    <w:rsid w:val="00C04546"/>
    <w:rsid w:val="00C66C2D"/>
    <w:rsid w:val="00CB2A1F"/>
    <w:rsid w:val="00D645BA"/>
    <w:rsid w:val="00D80209"/>
    <w:rsid w:val="00D86547"/>
    <w:rsid w:val="00DA4EB3"/>
    <w:rsid w:val="00DF4AF9"/>
    <w:rsid w:val="00E301E3"/>
    <w:rsid w:val="00F32CB4"/>
    <w:rsid w:val="00F52961"/>
    <w:rsid w:val="115455FC"/>
    <w:rsid w:val="5D5B7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390</Words>
  <Characters>2225</Characters>
  <Lines>18</Lines>
  <Paragraphs>5</Paragraphs>
  <TotalTime>12</TotalTime>
  <ScaleCrop>false</ScaleCrop>
  <LinksUpToDate>false</LinksUpToDate>
  <CharactersWithSpaces>2610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2023-03-24T07:24:00Z</dcterms:created>
  <dc:creator>GH</dc:creator>
  <cp:lastModifiedBy>周通</cp:lastModifiedBy>
  <cp:lastPrinted>2019-04-12T00:46:00Z</cp:lastPrinted>
  <dcterms:modified xsi:type="dcterms:W3CDTF">2023-11-25T12:34:44Z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CCBCE4690F2A42C387BBAC70197D5A94_12</vt:lpwstr>
  </property>
</Properties>
</file>