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C3" w:rsidRPr="006740B1" w:rsidRDefault="004428C3" w:rsidP="004428C3">
      <w:pPr>
        <w:widowControl/>
        <w:jc w:val="center"/>
        <w:outlineLvl w:val="1"/>
        <w:rPr>
          <w:rFonts w:ascii="微软雅黑" w:eastAsia="微软雅黑" w:hAnsi="微软雅黑" w:cs="宋体"/>
          <w:b/>
          <w:bCs/>
          <w:color w:val="2E2E2E"/>
          <w:kern w:val="0"/>
          <w:sz w:val="24"/>
          <w:szCs w:val="24"/>
        </w:rPr>
      </w:pPr>
      <w:r w:rsidRPr="006740B1">
        <w:rPr>
          <w:rFonts w:ascii="微软雅黑" w:eastAsia="微软雅黑" w:hAnsi="微软雅黑" w:cs="宋体" w:hint="eastAsia"/>
          <w:b/>
          <w:bCs/>
          <w:color w:val="2E2E2E"/>
          <w:kern w:val="0"/>
          <w:sz w:val="24"/>
          <w:szCs w:val="24"/>
        </w:rPr>
        <w:t>【社科处】2018年度天津市艺术科学规划项目申报公告</w:t>
      </w:r>
    </w:p>
    <w:p w:rsidR="004428C3" w:rsidRPr="006740B1" w:rsidRDefault="004428C3" w:rsidP="004428C3">
      <w:pPr>
        <w:widowControl/>
        <w:spacing w:line="360" w:lineRule="atLeast"/>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各相关学院:</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天津市艺术科学规划项目管理办法》（以下简称《办法》）和《2018年度天津市艺术科学规划项目课题指南》（以下简称《课题指南》）经天津市艺术科学规划领导小组批准，即日发布。天津市艺术科学规划办公室同时开始受理2018年度天津市艺术科学规划项目申报。现将申报工作的有关事项公告如下：</w:t>
      </w:r>
    </w:p>
    <w:p w:rsidR="004428C3" w:rsidRPr="006740B1" w:rsidRDefault="004428C3" w:rsidP="004428C3">
      <w:pPr>
        <w:widowControl/>
        <w:spacing w:line="360" w:lineRule="atLeast"/>
        <w:ind w:left="1282" w:hanging="720"/>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一、</w:t>
      </w:r>
      <w:r w:rsidRPr="006740B1">
        <w:rPr>
          <w:rFonts w:ascii="Times New Roman" w:eastAsia="微软雅黑" w:hAnsi="Times New Roman" w:cs="Times New Roman"/>
          <w:color w:val="505050"/>
          <w:kern w:val="0"/>
          <w:szCs w:val="21"/>
        </w:rPr>
        <w:t>   </w:t>
      </w:r>
      <w:r w:rsidRPr="006740B1">
        <w:rPr>
          <w:rFonts w:ascii="微软雅黑" w:eastAsia="微软雅黑" w:hAnsi="微软雅黑" w:cs="宋体" w:hint="eastAsia"/>
          <w:b/>
          <w:bCs/>
          <w:color w:val="505050"/>
          <w:kern w:val="0"/>
          <w:szCs w:val="21"/>
        </w:rPr>
        <w:t>指导思想</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2018年度天津市艺术科学规划项目的指导思想是，高举中国特色社会主义伟大旗帜，全面贯彻落实党的十九大精神，以马克思列宁主义、毛泽东思想、邓小平理论、“三个代表”重要思想、科学发展观、习近平新时代中国特色社会主义思想为指导，深入贯彻习近平总书记系列重要讲话精神特别是在文艺工作座谈会上的讲话精神，坚持解放思想、实事求是、与时俱进、求真务实，贯彻落实市委、市政府的有关部署，紧密围绕我市文化艺术发展的重大理论和实践问题，深入实际调查研究，加强前瞻性、战略性思考，开展</w:t>
      </w:r>
      <w:proofErr w:type="gramStart"/>
      <w:r w:rsidRPr="006740B1">
        <w:rPr>
          <w:rFonts w:ascii="微软雅黑" w:eastAsia="微软雅黑" w:hAnsi="微软雅黑" w:cs="宋体" w:hint="eastAsia"/>
          <w:color w:val="505050"/>
          <w:kern w:val="0"/>
          <w:szCs w:val="21"/>
        </w:rPr>
        <w:t>智库性</w:t>
      </w:r>
      <w:proofErr w:type="gramEnd"/>
      <w:r w:rsidRPr="006740B1">
        <w:rPr>
          <w:rFonts w:ascii="微软雅黑" w:eastAsia="微软雅黑" w:hAnsi="微软雅黑" w:cs="宋体" w:hint="eastAsia"/>
          <w:color w:val="505050"/>
          <w:kern w:val="0"/>
          <w:szCs w:val="21"/>
        </w:rPr>
        <w:t>研究，促进理论创新，指导文艺实践，为天津文化艺术事业发展提供理论支持和决策依据。</w:t>
      </w:r>
    </w:p>
    <w:p w:rsidR="004428C3" w:rsidRPr="006740B1" w:rsidRDefault="004428C3" w:rsidP="004428C3">
      <w:pPr>
        <w:widowControl/>
        <w:spacing w:line="360" w:lineRule="atLeast"/>
        <w:ind w:firstLine="482"/>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二、项目申请人需具备条件</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遵守中华人民共和国宪法和法律；具有独立开展研究和组织开展研究的能力，能够承担实质性研究工作；应具有副高级及以上专业技术职称（职务），不具备副高级及以上专业技术职称（职务）的，须由两名具有正高级专业技术职称的同行专家书面推荐。</w:t>
      </w:r>
    </w:p>
    <w:p w:rsidR="004428C3" w:rsidRPr="006740B1" w:rsidRDefault="004428C3" w:rsidP="004428C3">
      <w:pPr>
        <w:widowControl/>
        <w:spacing w:line="360" w:lineRule="atLeast"/>
        <w:ind w:firstLine="355"/>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 申请人在填报项目组成员或推荐人的信息前，必须征得本人同意，否则视为违规申报。全日制研究生不能申请，具备申报条件的在职博士生（博士后）从所在工作单位申请。</w:t>
      </w:r>
    </w:p>
    <w:p w:rsidR="004428C3" w:rsidRPr="006740B1" w:rsidRDefault="004428C3" w:rsidP="004428C3">
      <w:pPr>
        <w:widowControl/>
        <w:spacing w:line="360" w:lineRule="atLeast"/>
        <w:ind w:firstLine="357"/>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 </w:t>
      </w:r>
      <w:r w:rsidRPr="006740B1">
        <w:rPr>
          <w:rFonts w:ascii="微软雅黑" w:eastAsia="微软雅黑" w:hAnsi="微软雅黑" w:cs="宋体" w:hint="eastAsia"/>
          <w:color w:val="505050"/>
          <w:kern w:val="0"/>
          <w:szCs w:val="21"/>
        </w:rPr>
        <w:t>三、</w:t>
      </w:r>
      <w:r w:rsidRPr="006740B1">
        <w:rPr>
          <w:rFonts w:ascii="微软雅黑" w:eastAsia="微软雅黑" w:hAnsi="微软雅黑" w:cs="宋体" w:hint="eastAsia"/>
          <w:b/>
          <w:bCs/>
          <w:color w:val="505050"/>
          <w:kern w:val="0"/>
          <w:szCs w:val="21"/>
        </w:rPr>
        <w:t>项目承担单位需符合条件</w:t>
      </w:r>
    </w:p>
    <w:p w:rsidR="004428C3" w:rsidRPr="006740B1" w:rsidRDefault="004428C3" w:rsidP="004428C3">
      <w:pPr>
        <w:widowControl/>
        <w:spacing w:line="360" w:lineRule="atLeast"/>
        <w:ind w:firstLine="355"/>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lastRenderedPageBreak/>
        <w:t>在相关领域具有较雄厚的学术资源和研究实力；设有科研管理职能部门；能够提供开展研究的必要条件并承诺信誉保证。</w:t>
      </w:r>
    </w:p>
    <w:p w:rsidR="004428C3" w:rsidRPr="006740B1" w:rsidRDefault="004428C3" w:rsidP="004428C3">
      <w:pPr>
        <w:widowControl/>
        <w:spacing w:line="360" w:lineRule="atLeast"/>
        <w:ind w:firstLine="482"/>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四、申报说明</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项目申请人所在单位要按照《办法》中规定的申报条件和申报范围对申报项目进行认真的资格审查。对《天津市艺术科学规划项目申请书》（以下简称《申请书》）中的所有栏目要进行认真审核，签署明确意见并加盖公章。</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申报注意事项：</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1.本年度天津市艺术科学规划项目设置“重点项目”和“一般项目”，申请人申报项目时可按照《2018年度天津市艺术科学规划项目课题指南》（简称《课题指南》）条目进行申报，也可在指南的框架内，按照指南方向自拟题目。无论是按《课题指南》拟定的选题还是自选课题，课题名称的表述应科学、严谨、规范、简明，一般不加副标题。</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2.天津市艺术科学规划项目的完成时限，</w:t>
      </w:r>
      <w:proofErr w:type="gramStart"/>
      <w:r w:rsidRPr="006740B1">
        <w:rPr>
          <w:rFonts w:ascii="微软雅黑" w:eastAsia="微软雅黑" w:hAnsi="微软雅黑" w:cs="宋体" w:hint="eastAsia"/>
          <w:color w:val="505050"/>
          <w:kern w:val="0"/>
          <w:szCs w:val="21"/>
        </w:rPr>
        <w:t>自项目</w:t>
      </w:r>
      <w:proofErr w:type="gramEnd"/>
      <w:r w:rsidRPr="006740B1">
        <w:rPr>
          <w:rFonts w:ascii="微软雅黑" w:eastAsia="微软雅黑" w:hAnsi="微软雅黑" w:cs="宋体" w:hint="eastAsia"/>
          <w:color w:val="505050"/>
          <w:kern w:val="0"/>
          <w:szCs w:val="21"/>
        </w:rPr>
        <w:t>批准立项之日起计算，基础理论研究一般为3至5年；应用对策研究类项目应根据所研究问题的紧迫性和时效性确定完成的时间，一般应在2年内完成。最终研究成果必须符合《办法》的要求和学术规范，没有知识产权争议。凡发现弄虚作假等违规者，经查实后，即作撤项处理，并通报批评，5年之内不得申报天津市艺术科学规划项目。</w:t>
      </w:r>
    </w:p>
    <w:p w:rsidR="004428C3" w:rsidRPr="006740B1" w:rsidRDefault="004428C3" w:rsidP="004428C3">
      <w:pPr>
        <w:widowControl/>
        <w:spacing w:after="300" w:line="360" w:lineRule="atLeast"/>
        <w:ind w:firstLine="480"/>
        <w:jc w:val="left"/>
        <w:rPr>
          <w:rFonts w:ascii="宋体" w:eastAsia="宋体" w:hAnsi="宋体" w:cs="宋体"/>
          <w:color w:val="505050"/>
          <w:kern w:val="0"/>
          <w:szCs w:val="21"/>
        </w:rPr>
      </w:pPr>
      <w:r w:rsidRPr="006740B1">
        <w:rPr>
          <w:rFonts w:ascii="宋体" w:eastAsia="宋体" w:hAnsi="宋体" w:cs="宋体" w:hint="eastAsia"/>
          <w:color w:val="505050"/>
          <w:kern w:val="0"/>
          <w:szCs w:val="21"/>
        </w:rPr>
        <w:t>3.“学科代码”参照天津市艺术科学规划办发布的《2018年度天津市艺术科学规划项目申报学科代码》。</w:t>
      </w:r>
    </w:p>
    <w:p w:rsidR="004428C3" w:rsidRPr="006740B1" w:rsidRDefault="004428C3" w:rsidP="004428C3">
      <w:pPr>
        <w:widowControl/>
        <w:spacing w:line="360" w:lineRule="atLeast"/>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    4.项目负责人对项目组成员选定要审慎，项目入选后，不能随意删减或增加人员。项目组成员（含负责人在内），专著不超过3人，研究报告不超过4人，系列论文不超过3人。</w:t>
      </w:r>
    </w:p>
    <w:p w:rsidR="004428C3" w:rsidRPr="006740B1" w:rsidRDefault="004428C3" w:rsidP="004428C3">
      <w:pPr>
        <w:widowControl/>
        <w:spacing w:after="300" w:line="360" w:lineRule="atLeast"/>
        <w:ind w:firstLine="480"/>
        <w:jc w:val="left"/>
        <w:rPr>
          <w:rFonts w:ascii="宋体" w:eastAsia="宋体" w:hAnsi="宋体" w:cs="宋体"/>
          <w:color w:val="505050"/>
          <w:kern w:val="0"/>
          <w:szCs w:val="21"/>
        </w:rPr>
      </w:pPr>
      <w:r w:rsidRPr="006740B1">
        <w:rPr>
          <w:rFonts w:ascii="宋体" w:eastAsia="宋体" w:hAnsi="宋体" w:cs="宋体" w:hint="eastAsia"/>
          <w:color w:val="505050"/>
          <w:kern w:val="0"/>
          <w:szCs w:val="21"/>
        </w:rPr>
        <w:t>5.“预期成果”一栏中，一般为“系列论文”、“专著”、“研究报告”，申报人须注明其中一种，切忌同时选择两种以上，否则无效。专著不少于10万字,研究报告不少于3万字（需公开发表论文2篇，第一作者必须是项目负责人，其中核心期刊1篇），系列论文不少于2万字（需公开发表论文3-5篇，项目负责人任第一作者不得少于3篇，其中核心期</w:t>
      </w:r>
      <w:r w:rsidRPr="006740B1">
        <w:rPr>
          <w:rFonts w:ascii="宋体" w:eastAsia="宋体" w:hAnsi="宋体" w:cs="宋体" w:hint="eastAsia"/>
          <w:color w:val="505050"/>
          <w:kern w:val="0"/>
          <w:szCs w:val="21"/>
        </w:rPr>
        <w:lastRenderedPageBreak/>
        <w:t>刊2篇）。核心期刊是指北京大学中文核心期刊目录（新版）、南京大学CSSCI来源核心期刊目录（新版）所收录期刊。</w:t>
      </w:r>
    </w:p>
    <w:p w:rsidR="004428C3" w:rsidRPr="006740B1" w:rsidRDefault="004428C3" w:rsidP="004428C3">
      <w:pPr>
        <w:widowControl/>
        <w:spacing w:line="360" w:lineRule="atLeast"/>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    </w:t>
      </w:r>
      <w:r w:rsidRPr="006740B1">
        <w:rPr>
          <w:rFonts w:ascii="微软雅黑" w:eastAsia="微软雅黑" w:hAnsi="微软雅黑" w:cs="宋体" w:hint="eastAsia"/>
          <w:b/>
          <w:bCs/>
          <w:color w:val="505050"/>
          <w:kern w:val="0"/>
          <w:szCs w:val="21"/>
        </w:rPr>
        <w:t>五、申报细则：</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1.符合要求的申请人只能申报一个项目。在</w:t>
      </w:r>
      <w:proofErr w:type="gramStart"/>
      <w:r w:rsidRPr="006740B1">
        <w:rPr>
          <w:rFonts w:ascii="微软雅黑" w:eastAsia="微软雅黑" w:hAnsi="微软雅黑" w:cs="宋体" w:hint="eastAsia"/>
          <w:color w:val="505050"/>
          <w:kern w:val="0"/>
          <w:szCs w:val="21"/>
        </w:rPr>
        <w:t>研</w:t>
      </w:r>
      <w:proofErr w:type="gramEnd"/>
      <w:r w:rsidRPr="006740B1">
        <w:rPr>
          <w:rFonts w:ascii="微软雅黑" w:eastAsia="微软雅黑" w:hAnsi="微软雅黑" w:cs="宋体" w:hint="eastAsia"/>
          <w:color w:val="505050"/>
          <w:kern w:val="0"/>
          <w:szCs w:val="21"/>
        </w:rPr>
        <w:t>的国家级和省部级科研项目的负责人不能申请或参与2018年度天津市艺术科学规划项目申报。为避免一题多报、交叉申请和重复立项，对申请人作如下限定：</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（1）项目负责人同年度只能申报一个项目，且不能作为项目组成员参加其他天津市艺术科学规划项目的申请；项目组成员同年度最多参与两个艺术科学规划项目的申请。</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（2）与已出版或准备出版的内容基本相同的研究成果不得申请天津市艺术科学规划项目。</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（3）有不良科研信誉者，亦属限报人员。</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2.2018年度天津市艺术科学规划项目实行纸质申请材料报送。申报材料：项目申报材料一律从天津市艺术研究所网站</w:t>
      </w:r>
      <w:r w:rsidRPr="006740B1">
        <w:rPr>
          <w:rFonts w:ascii="微软雅黑" w:eastAsia="微软雅黑" w:hAnsi="微软雅黑" w:cs="宋体" w:hint="eastAsia"/>
          <w:b/>
          <w:bCs/>
          <w:color w:val="505050"/>
          <w:kern w:val="0"/>
          <w:szCs w:val="21"/>
        </w:rPr>
        <w:t>（</w:t>
      </w:r>
      <w:bookmarkStart w:id="0" w:name="OLE_LINK1"/>
      <w:bookmarkEnd w:id="0"/>
      <w:r w:rsidRPr="006740B1">
        <w:rPr>
          <w:rFonts w:ascii="微软雅黑" w:eastAsia="微软雅黑" w:hAnsi="微软雅黑" w:cs="宋体"/>
          <w:b/>
          <w:bCs/>
          <w:color w:val="505050"/>
          <w:kern w:val="0"/>
          <w:szCs w:val="21"/>
        </w:rPr>
        <w:fldChar w:fldCharType="begin"/>
      </w:r>
      <w:r w:rsidRPr="006740B1">
        <w:rPr>
          <w:rFonts w:ascii="微软雅黑" w:eastAsia="微软雅黑" w:hAnsi="微软雅黑" w:cs="宋体"/>
          <w:b/>
          <w:bCs/>
          <w:color w:val="505050"/>
          <w:kern w:val="0"/>
          <w:szCs w:val="21"/>
        </w:rPr>
        <w:instrText xml:space="preserve"> HYPERLINK "http://www.tjysyjs.com/" </w:instrText>
      </w:r>
      <w:r w:rsidRPr="006740B1">
        <w:rPr>
          <w:rFonts w:ascii="微软雅黑" w:eastAsia="微软雅黑" w:hAnsi="微软雅黑" w:cs="宋体"/>
          <w:b/>
          <w:bCs/>
          <w:color w:val="505050"/>
          <w:kern w:val="0"/>
          <w:szCs w:val="21"/>
        </w:rPr>
        <w:fldChar w:fldCharType="separate"/>
      </w:r>
      <w:r w:rsidRPr="006740B1">
        <w:rPr>
          <w:rFonts w:ascii="微软雅黑" w:eastAsia="微软雅黑" w:hAnsi="微软雅黑" w:cs="宋体" w:hint="eastAsia"/>
          <w:b/>
          <w:bCs/>
          <w:color w:val="0000FF"/>
          <w:kern w:val="0"/>
          <w:szCs w:val="21"/>
        </w:rPr>
        <w:t>http://www.tjysyjs.com</w:t>
      </w:r>
      <w:r w:rsidRPr="006740B1">
        <w:rPr>
          <w:rFonts w:ascii="微软雅黑" w:eastAsia="微软雅黑" w:hAnsi="微软雅黑" w:cs="宋体"/>
          <w:b/>
          <w:bCs/>
          <w:color w:val="505050"/>
          <w:kern w:val="0"/>
          <w:szCs w:val="21"/>
        </w:rPr>
        <w:fldChar w:fldCharType="end"/>
      </w:r>
      <w:r w:rsidRPr="006740B1">
        <w:rPr>
          <w:rFonts w:ascii="微软雅黑" w:eastAsia="微软雅黑" w:hAnsi="微软雅黑" w:cs="宋体" w:hint="eastAsia"/>
          <w:b/>
          <w:bCs/>
          <w:color w:val="505050"/>
          <w:kern w:val="0"/>
          <w:szCs w:val="21"/>
        </w:rPr>
        <w:t>点击“科研立项→本市立项”栏目下载）</w:t>
      </w:r>
      <w:r w:rsidRPr="006740B1">
        <w:rPr>
          <w:rFonts w:ascii="微软雅黑" w:eastAsia="微软雅黑" w:hAnsi="微软雅黑" w:cs="宋体" w:hint="eastAsia"/>
          <w:color w:val="505050"/>
          <w:kern w:val="0"/>
          <w:szCs w:val="21"/>
        </w:rPr>
        <w:t>，包括《天津市艺术科学规划项目管理办法》《天津市艺术科学规划项目成果鉴定结项验收管理办法》《2018年度天津市艺术科学规划项目课题指南》《天津市艺术科学规划项目申请书》（2018年修订版）《天津市艺术科学规划项目鉴定结项书》(2018年修订版)《天津市艺术科学规划项目年度检查表》（2018年修订版）《2018年度天津市艺术科学规划项目学科代码》及《2018年天津市艺术科学规划项目申报数据表》。</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t>3.如项目获准立项，申请人填写的《申请书》即成为有约束力的资助合同文本。项目负责人在项目执行期间要遵守相关承诺，履行约定义务，按期完成研究任务。除特殊情况外，计划出版的成果须先鉴定后出版，违反规定擅自出版者视为自行终止资助协议；经批准同意出版的成果出版后须报送天津市艺术科学规划办公室2套样书。</w:t>
      </w:r>
    </w:p>
    <w:p w:rsidR="004428C3" w:rsidRPr="006740B1" w:rsidRDefault="004428C3" w:rsidP="004428C3">
      <w:pPr>
        <w:widowControl/>
        <w:spacing w:line="360" w:lineRule="atLeast"/>
        <w:ind w:firstLine="480"/>
        <w:jc w:val="left"/>
        <w:rPr>
          <w:rFonts w:ascii="微软雅黑" w:eastAsia="微软雅黑" w:hAnsi="微软雅黑" w:cs="宋体"/>
          <w:color w:val="505050"/>
          <w:kern w:val="0"/>
          <w:szCs w:val="21"/>
        </w:rPr>
      </w:pPr>
      <w:r w:rsidRPr="006740B1">
        <w:rPr>
          <w:rFonts w:ascii="微软雅黑" w:eastAsia="微软雅黑" w:hAnsi="微软雅黑" w:cs="宋体" w:hint="eastAsia"/>
          <w:color w:val="505050"/>
          <w:kern w:val="0"/>
          <w:szCs w:val="21"/>
        </w:rPr>
        <w:lastRenderedPageBreak/>
        <w:t>4.各单位科研管理部门作为中级管理单位，要做好申报组织及申报材料的审核把关工作，根据本公告及有关规定严格审核《申请书》的所有栏目内容，特别是严格审核申报资格，申报内容的真实性，选题、项目设计与论证的科学性及可行性，项目组的研究实力和完成任务的必备条件等，签署明确意见，承担信誉保证，确保我市2018年度艺术科学规划项目申报工作的正常开展和评审、立项工作的顺利完成。</w:t>
      </w:r>
    </w:p>
    <w:p w:rsidR="004428C3" w:rsidRPr="006740B1" w:rsidRDefault="004428C3" w:rsidP="004428C3">
      <w:pPr>
        <w:widowControl/>
        <w:spacing w:line="360" w:lineRule="atLeast"/>
        <w:ind w:firstLine="482"/>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六、申报时间</w:t>
      </w:r>
    </w:p>
    <w:p w:rsidR="004428C3" w:rsidRPr="006740B1" w:rsidRDefault="004428C3" w:rsidP="004428C3">
      <w:pPr>
        <w:widowControl/>
        <w:spacing w:after="300" w:line="360" w:lineRule="atLeast"/>
        <w:ind w:firstLine="480"/>
        <w:jc w:val="left"/>
        <w:rPr>
          <w:rFonts w:ascii="宋体" w:eastAsia="宋体" w:hAnsi="宋体" w:cs="宋体"/>
          <w:color w:val="505050"/>
          <w:kern w:val="0"/>
          <w:szCs w:val="21"/>
        </w:rPr>
      </w:pPr>
      <w:bookmarkStart w:id="1" w:name="_GoBack"/>
      <w:r w:rsidRPr="006740B1">
        <w:rPr>
          <w:rFonts w:ascii="宋体" w:eastAsia="宋体" w:hAnsi="宋体" w:cs="宋体" w:hint="eastAsia"/>
          <w:color w:val="505050"/>
          <w:kern w:val="0"/>
          <w:szCs w:val="21"/>
        </w:rPr>
        <w:t>申报的老师必须于2018年9月13日前将审查合格的《申请书》（可以提前交到社科处审查）一式3份、《项目设计论证》一式5份连同电子文件（文件夹以申报者命名，内含《申请书》与《项目设计论证》两个文档）交到学院，由学院将申报书和《申报数据表》一并报送社科处，逾期不予受理。</w:t>
      </w:r>
      <w:r w:rsidRPr="006740B1">
        <w:rPr>
          <w:rFonts w:ascii="宋体" w:eastAsia="宋体" w:hAnsi="宋体" w:cs="宋体" w:hint="eastAsia"/>
          <w:color w:val="505050"/>
          <w:kern w:val="0"/>
          <w:szCs w:val="21"/>
        </w:rPr>
        <w:br/>
      </w:r>
      <w:bookmarkEnd w:id="1"/>
      <w:r w:rsidRPr="006740B1">
        <w:rPr>
          <w:rFonts w:ascii="宋体" w:eastAsia="宋体" w:hAnsi="宋体" w:cs="宋体" w:hint="eastAsia"/>
          <w:color w:val="505050"/>
          <w:kern w:val="0"/>
          <w:szCs w:val="21"/>
        </w:rPr>
        <w:br/>
        <w:t>    联系人：李明琪</w:t>
      </w:r>
    </w:p>
    <w:p w:rsidR="004428C3" w:rsidRPr="006740B1" w:rsidRDefault="004428C3" w:rsidP="004428C3">
      <w:pPr>
        <w:widowControl/>
        <w:spacing w:after="300" w:line="360" w:lineRule="atLeast"/>
        <w:ind w:firstLine="480"/>
        <w:jc w:val="left"/>
        <w:rPr>
          <w:rFonts w:ascii="宋体" w:eastAsia="宋体" w:hAnsi="宋体" w:cs="宋体"/>
          <w:color w:val="505050"/>
          <w:kern w:val="0"/>
          <w:szCs w:val="21"/>
        </w:rPr>
      </w:pPr>
      <w:r w:rsidRPr="006740B1">
        <w:rPr>
          <w:rFonts w:ascii="宋体" w:eastAsia="宋体" w:hAnsi="宋体" w:cs="宋体" w:hint="eastAsia"/>
          <w:color w:val="505050"/>
          <w:kern w:val="0"/>
          <w:szCs w:val="21"/>
        </w:rPr>
        <w:t>电  话：60600238</w:t>
      </w:r>
    </w:p>
    <w:p w:rsidR="004428C3" w:rsidRPr="006740B1" w:rsidRDefault="004428C3" w:rsidP="004428C3">
      <w:pPr>
        <w:widowControl/>
        <w:spacing w:after="300" w:line="360" w:lineRule="atLeast"/>
        <w:ind w:firstLine="480"/>
        <w:jc w:val="left"/>
        <w:rPr>
          <w:rFonts w:ascii="宋体" w:eastAsia="宋体" w:hAnsi="宋体" w:cs="宋体"/>
          <w:color w:val="505050"/>
          <w:kern w:val="0"/>
          <w:szCs w:val="21"/>
        </w:rPr>
      </w:pPr>
      <w:r w:rsidRPr="006740B1">
        <w:rPr>
          <w:rFonts w:ascii="宋体" w:eastAsia="宋体" w:hAnsi="宋体" w:cs="宋体" w:hint="eastAsia"/>
          <w:color w:val="505050"/>
          <w:kern w:val="0"/>
          <w:szCs w:val="21"/>
        </w:rPr>
        <w:t>邮  箱：mqli@tust.edu.cn</w:t>
      </w:r>
    </w:p>
    <w:p w:rsidR="004428C3" w:rsidRPr="006740B1" w:rsidRDefault="004428C3" w:rsidP="004428C3">
      <w:pPr>
        <w:widowControl/>
        <w:spacing w:line="360" w:lineRule="atLeast"/>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 </w:t>
      </w:r>
    </w:p>
    <w:p w:rsidR="004428C3" w:rsidRPr="006740B1" w:rsidRDefault="004428C3" w:rsidP="004428C3">
      <w:pPr>
        <w:widowControl/>
        <w:spacing w:line="360" w:lineRule="atLeast"/>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                                                                                                             社科处</w:t>
      </w:r>
    </w:p>
    <w:p w:rsidR="004428C3" w:rsidRPr="006740B1" w:rsidRDefault="004428C3" w:rsidP="004428C3">
      <w:pPr>
        <w:widowControl/>
        <w:spacing w:line="360" w:lineRule="atLeast"/>
        <w:jc w:val="left"/>
        <w:rPr>
          <w:rFonts w:ascii="微软雅黑" w:eastAsia="微软雅黑" w:hAnsi="微软雅黑" w:cs="宋体"/>
          <w:color w:val="505050"/>
          <w:kern w:val="0"/>
          <w:szCs w:val="21"/>
        </w:rPr>
      </w:pPr>
      <w:r w:rsidRPr="006740B1">
        <w:rPr>
          <w:rFonts w:ascii="微软雅黑" w:eastAsia="微软雅黑" w:hAnsi="微软雅黑" w:cs="宋体" w:hint="eastAsia"/>
          <w:b/>
          <w:bCs/>
          <w:color w:val="505050"/>
          <w:kern w:val="0"/>
          <w:szCs w:val="21"/>
        </w:rPr>
        <w:t>                                                                                                            2018.8.7</w:t>
      </w:r>
    </w:p>
    <w:p w:rsidR="00DB43B1" w:rsidRPr="006740B1" w:rsidRDefault="00DB43B1">
      <w:pPr>
        <w:rPr>
          <w:szCs w:val="21"/>
        </w:rPr>
      </w:pPr>
    </w:p>
    <w:sectPr w:rsidR="00DB43B1" w:rsidRPr="006740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32" w:rsidRDefault="00F93232" w:rsidP="006740B1">
      <w:r>
        <w:separator/>
      </w:r>
    </w:p>
  </w:endnote>
  <w:endnote w:type="continuationSeparator" w:id="0">
    <w:p w:rsidR="00F93232" w:rsidRDefault="00F93232" w:rsidP="0067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32" w:rsidRDefault="00F93232" w:rsidP="006740B1">
      <w:r>
        <w:separator/>
      </w:r>
    </w:p>
  </w:footnote>
  <w:footnote w:type="continuationSeparator" w:id="0">
    <w:p w:rsidR="00F93232" w:rsidRDefault="00F93232" w:rsidP="0067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B9"/>
    <w:rsid w:val="003370B9"/>
    <w:rsid w:val="004428C3"/>
    <w:rsid w:val="006740B1"/>
    <w:rsid w:val="00DB43B1"/>
    <w:rsid w:val="00F9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428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28C3"/>
    <w:rPr>
      <w:rFonts w:ascii="宋体" w:eastAsia="宋体" w:hAnsi="宋体" w:cs="宋体"/>
      <w:b/>
      <w:bCs/>
      <w:kern w:val="0"/>
      <w:sz w:val="36"/>
      <w:szCs w:val="36"/>
    </w:rPr>
  </w:style>
  <w:style w:type="paragraph" w:customStyle="1" w:styleId="article-info">
    <w:name w:val="article-info"/>
    <w:basedOn w:val="a"/>
    <w:rsid w:val="004428C3"/>
    <w:pPr>
      <w:widowControl/>
      <w:spacing w:before="100" w:beforeAutospacing="1" w:after="100" w:afterAutospacing="1"/>
      <w:jc w:val="left"/>
    </w:pPr>
    <w:rPr>
      <w:rFonts w:ascii="宋体" w:eastAsia="宋体" w:hAnsi="宋体" w:cs="宋体"/>
      <w:kern w:val="0"/>
      <w:sz w:val="24"/>
      <w:szCs w:val="24"/>
    </w:rPr>
  </w:style>
  <w:style w:type="character" w:customStyle="1" w:styleId="1">
    <w:name w:val="日期1"/>
    <w:basedOn w:val="a0"/>
    <w:rsid w:val="004428C3"/>
  </w:style>
  <w:style w:type="character" w:customStyle="1" w:styleId="depart">
    <w:name w:val="depart"/>
    <w:basedOn w:val="a0"/>
    <w:rsid w:val="004428C3"/>
  </w:style>
  <w:style w:type="character" w:customStyle="1" w:styleId="readcount">
    <w:name w:val="readcount"/>
    <w:basedOn w:val="a0"/>
    <w:rsid w:val="004428C3"/>
  </w:style>
  <w:style w:type="paragraph" w:styleId="a3">
    <w:name w:val="Normal (Web)"/>
    <w:basedOn w:val="a"/>
    <w:uiPriority w:val="99"/>
    <w:semiHidden/>
    <w:unhideWhenUsed/>
    <w:rsid w:val="004428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428C3"/>
    <w:rPr>
      <w:color w:val="0000FF"/>
      <w:u w:val="single"/>
    </w:rPr>
  </w:style>
  <w:style w:type="character" w:styleId="a5">
    <w:name w:val="Strong"/>
    <w:basedOn w:val="a0"/>
    <w:uiPriority w:val="22"/>
    <w:qFormat/>
    <w:rsid w:val="004428C3"/>
    <w:rPr>
      <w:b/>
      <w:bCs/>
    </w:rPr>
  </w:style>
  <w:style w:type="paragraph" w:styleId="a6">
    <w:name w:val="header"/>
    <w:basedOn w:val="a"/>
    <w:link w:val="Char"/>
    <w:uiPriority w:val="99"/>
    <w:unhideWhenUsed/>
    <w:rsid w:val="00674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740B1"/>
    <w:rPr>
      <w:sz w:val="18"/>
      <w:szCs w:val="18"/>
    </w:rPr>
  </w:style>
  <w:style w:type="paragraph" w:styleId="a7">
    <w:name w:val="footer"/>
    <w:basedOn w:val="a"/>
    <w:link w:val="Char0"/>
    <w:uiPriority w:val="99"/>
    <w:unhideWhenUsed/>
    <w:rsid w:val="006740B1"/>
    <w:pPr>
      <w:tabs>
        <w:tab w:val="center" w:pos="4153"/>
        <w:tab w:val="right" w:pos="8306"/>
      </w:tabs>
      <w:snapToGrid w:val="0"/>
      <w:jc w:val="left"/>
    </w:pPr>
    <w:rPr>
      <w:sz w:val="18"/>
      <w:szCs w:val="18"/>
    </w:rPr>
  </w:style>
  <w:style w:type="character" w:customStyle="1" w:styleId="Char0">
    <w:name w:val="页脚 Char"/>
    <w:basedOn w:val="a0"/>
    <w:link w:val="a7"/>
    <w:uiPriority w:val="99"/>
    <w:rsid w:val="006740B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428C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428C3"/>
    <w:rPr>
      <w:rFonts w:ascii="宋体" w:eastAsia="宋体" w:hAnsi="宋体" w:cs="宋体"/>
      <w:b/>
      <w:bCs/>
      <w:kern w:val="0"/>
      <w:sz w:val="36"/>
      <w:szCs w:val="36"/>
    </w:rPr>
  </w:style>
  <w:style w:type="paragraph" w:customStyle="1" w:styleId="article-info">
    <w:name w:val="article-info"/>
    <w:basedOn w:val="a"/>
    <w:rsid w:val="004428C3"/>
    <w:pPr>
      <w:widowControl/>
      <w:spacing w:before="100" w:beforeAutospacing="1" w:after="100" w:afterAutospacing="1"/>
      <w:jc w:val="left"/>
    </w:pPr>
    <w:rPr>
      <w:rFonts w:ascii="宋体" w:eastAsia="宋体" w:hAnsi="宋体" w:cs="宋体"/>
      <w:kern w:val="0"/>
      <w:sz w:val="24"/>
      <w:szCs w:val="24"/>
    </w:rPr>
  </w:style>
  <w:style w:type="character" w:customStyle="1" w:styleId="1">
    <w:name w:val="日期1"/>
    <w:basedOn w:val="a0"/>
    <w:rsid w:val="004428C3"/>
  </w:style>
  <w:style w:type="character" w:customStyle="1" w:styleId="depart">
    <w:name w:val="depart"/>
    <w:basedOn w:val="a0"/>
    <w:rsid w:val="004428C3"/>
  </w:style>
  <w:style w:type="character" w:customStyle="1" w:styleId="readcount">
    <w:name w:val="readcount"/>
    <w:basedOn w:val="a0"/>
    <w:rsid w:val="004428C3"/>
  </w:style>
  <w:style w:type="paragraph" w:styleId="a3">
    <w:name w:val="Normal (Web)"/>
    <w:basedOn w:val="a"/>
    <w:uiPriority w:val="99"/>
    <w:semiHidden/>
    <w:unhideWhenUsed/>
    <w:rsid w:val="004428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428C3"/>
    <w:rPr>
      <w:color w:val="0000FF"/>
      <w:u w:val="single"/>
    </w:rPr>
  </w:style>
  <w:style w:type="character" w:styleId="a5">
    <w:name w:val="Strong"/>
    <w:basedOn w:val="a0"/>
    <w:uiPriority w:val="22"/>
    <w:qFormat/>
    <w:rsid w:val="004428C3"/>
    <w:rPr>
      <w:b/>
      <w:bCs/>
    </w:rPr>
  </w:style>
  <w:style w:type="paragraph" w:styleId="a6">
    <w:name w:val="header"/>
    <w:basedOn w:val="a"/>
    <w:link w:val="Char"/>
    <w:uiPriority w:val="99"/>
    <w:unhideWhenUsed/>
    <w:rsid w:val="00674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740B1"/>
    <w:rPr>
      <w:sz w:val="18"/>
      <w:szCs w:val="18"/>
    </w:rPr>
  </w:style>
  <w:style w:type="paragraph" w:styleId="a7">
    <w:name w:val="footer"/>
    <w:basedOn w:val="a"/>
    <w:link w:val="Char0"/>
    <w:uiPriority w:val="99"/>
    <w:unhideWhenUsed/>
    <w:rsid w:val="006740B1"/>
    <w:pPr>
      <w:tabs>
        <w:tab w:val="center" w:pos="4153"/>
        <w:tab w:val="right" w:pos="8306"/>
      </w:tabs>
      <w:snapToGrid w:val="0"/>
      <w:jc w:val="left"/>
    </w:pPr>
    <w:rPr>
      <w:sz w:val="18"/>
      <w:szCs w:val="18"/>
    </w:rPr>
  </w:style>
  <w:style w:type="character" w:customStyle="1" w:styleId="Char0">
    <w:name w:val="页脚 Char"/>
    <w:basedOn w:val="a0"/>
    <w:link w:val="a7"/>
    <w:uiPriority w:val="99"/>
    <w:rsid w:val="006740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33892">
      <w:bodyDiv w:val="1"/>
      <w:marLeft w:val="0"/>
      <w:marRight w:val="0"/>
      <w:marTop w:val="0"/>
      <w:marBottom w:val="0"/>
      <w:divBdr>
        <w:top w:val="none" w:sz="0" w:space="0" w:color="auto"/>
        <w:left w:val="none" w:sz="0" w:space="0" w:color="auto"/>
        <w:bottom w:val="none" w:sz="0" w:space="0" w:color="auto"/>
        <w:right w:val="none" w:sz="0" w:space="0" w:color="auto"/>
      </w:divBdr>
      <w:divsChild>
        <w:div w:id="87439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4</cp:revision>
  <dcterms:created xsi:type="dcterms:W3CDTF">2018-08-21T00:53:00Z</dcterms:created>
  <dcterms:modified xsi:type="dcterms:W3CDTF">2018-10-09T06:34:00Z</dcterms:modified>
</cp:coreProperties>
</file>